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highlight w:val="none"/>
          <w:lang w:eastAsia="zh-CN"/>
        </w:rPr>
        <w:t>“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highlight w:val="none"/>
          <w:lang w:val="en-US" w:eastAsia="zh-CN"/>
        </w:rPr>
        <w:t>金蔷薇学术季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highlight w:val="none"/>
          <w:lang w:eastAsia="zh-CN"/>
        </w:rPr>
        <w:t>”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highlight w:val="none"/>
          <w:lang w:val="en-US" w:eastAsia="zh-CN"/>
        </w:rPr>
        <w:t>创作与实践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highlight w:val="none"/>
          <w:lang w:val="en-US" w:eastAsia="zh-CN"/>
        </w:rPr>
        <w:t>英才培育计划管理办法</w:t>
      </w:r>
    </w:p>
    <w:p>
      <w:pPr>
        <w:jc w:val="center"/>
        <w:rPr>
          <w:rFonts w:hint="eastAsia" w:ascii="微软雅黑" w:hAnsi="微软雅黑"/>
          <w:b/>
          <w:sz w:val="30"/>
          <w:szCs w:val="30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第一章  总  则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为了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全面推进“四个一批”专业建设，贯彻落实“五个一工程”提升计划，以“双一流”建设为引领，</w:t>
      </w:r>
      <w:r>
        <w:rPr>
          <w:rFonts w:hint="eastAsia" w:ascii="仿宋" w:hAnsi="仿宋" w:eastAsia="仿宋"/>
          <w:sz w:val="32"/>
          <w:szCs w:val="32"/>
          <w:highlight w:val="none"/>
        </w:rPr>
        <w:t>激发学生的创作与实践意识，发掘和孵化优秀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创作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与实践</w:t>
      </w:r>
      <w:r>
        <w:rPr>
          <w:rFonts w:hint="eastAsia" w:ascii="仿宋" w:hAnsi="仿宋" w:eastAsia="仿宋"/>
          <w:sz w:val="32"/>
          <w:szCs w:val="32"/>
          <w:highlight w:val="none"/>
        </w:rPr>
        <w:t>项目，我校研究生院联合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  <w:highlight w:val="none"/>
        </w:rPr>
        <w:t>团委、科学研究处设立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“金蔷薇学术季”创作与实践英才培育计划（以下简称“英才培育计划”）。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第二章  立项规划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英才培育计划要求项目成果必须为具体、可展示成果</w:t>
      </w:r>
      <w:r>
        <w:rPr>
          <w:rFonts w:hint="eastAsia" w:ascii="仿宋" w:hAnsi="仿宋" w:eastAsia="仿宋"/>
          <w:sz w:val="32"/>
          <w:szCs w:val="32"/>
          <w:highlight w:val="none"/>
        </w:rPr>
        <w:t>，每年组织申报一次，项目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开展</w:t>
      </w:r>
      <w:r>
        <w:rPr>
          <w:rFonts w:hint="eastAsia" w:ascii="仿宋" w:hAnsi="仿宋" w:eastAsia="仿宋"/>
          <w:sz w:val="32"/>
          <w:szCs w:val="32"/>
          <w:highlight w:val="none"/>
        </w:rPr>
        <w:t>周期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按学术季总体规划执行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英才培育计划打造的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  <w:highlight w:val="none"/>
        </w:rPr>
        <w:t>团队强调“联合”，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提倡</w:t>
      </w:r>
      <w:r>
        <w:rPr>
          <w:rFonts w:hint="eastAsia" w:ascii="仿宋" w:hAnsi="仿宋" w:eastAsia="仿宋"/>
          <w:sz w:val="32"/>
          <w:szCs w:val="32"/>
          <w:highlight w:val="none"/>
        </w:rPr>
        <w:t>学院联合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专业联合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师生联合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硕博</w:t>
      </w:r>
      <w:r>
        <w:rPr>
          <w:rFonts w:hint="eastAsia" w:ascii="仿宋" w:hAnsi="仿宋" w:eastAsia="仿宋"/>
          <w:sz w:val="32"/>
          <w:szCs w:val="32"/>
          <w:highlight w:val="none"/>
        </w:rPr>
        <w:t>研究生联合，要求在教师的指导下，充分发挥学生的主体性、创造性、积极性。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英才培育计划</w:t>
      </w:r>
      <w:r>
        <w:rPr>
          <w:rFonts w:hint="eastAsia" w:ascii="仿宋" w:hAnsi="仿宋" w:eastAsia="仿宋"/>
          <w:sz w:val="32"/>
          <w:szCs w:val="32"/>
          <w:highlight w:val="none"/>
        </w:rPr>
        <w:t>实行项目制，项目实行团队负责人制，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研究生院</w:t>
      </w:r>
      <w:r>
        <w:rPr>
          <w:rFonts w:hint="eastAsia" w:ascii="仿宋" w:hAnsi="仿宋" w:eastAsia="仿宋"/>
          <w:sz w:val="32"/>
          <w:szCs w:val="32"/>
          <w:highlight w:val="none"/>
        </w:rPr>
        <w:t>计划每年择优支持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一定数量</w:t>
      </w:r>
      <w:r>
        <w:rPr>
          <w:rFonts w:hint="eastAsia" w:ascii="仿宋" w:hAnsi="仿宋" w:eastAsia="仿宋"/>
          <w:sz w:val="32"/>
          <w:szCs w:val="32"/>
          <w:highlight w:val="none"/>
        </w:rPr>
        <w:t>项目。</w:t>
      </w:r>
    </w:p>
    <w:p>
      <w:pPr>
        <w:jc w:val="center"/>
        <w:rPr>
          <w:rFonts w:hint="eastAsia" w:ascii="微软雅黑" w:hAnsi="微软雅黑"/>
          <w:b/>
          <w:sz w:val="30"/>
          <w:szCs w:val="30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第三章  项目申报与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结项管理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b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highlight w:val="none"/>
          <w:lang w:val="en-US" w:eastAsia="zh-CN"/>
        </w:rPr>
        <w:t>申报要求。</w:t>
      </w:r>
    </w:p>
    <w:p>
      <w:pPr>
        <w:ind w:firstLine="42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申报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英才培育计划</w:t>
      </w:r>
      <w:r>
        <w:rPr>
          <w:rFonts w:hint="eastAsia" w:ascii="仿宋" w:hAnsi="仿宋" w:eastAsia="仿宋"/>
          <w:sz w:val="32"/>
          <w:szCs w:val="32"/>
          <w:highlight w:val="none"/>
        </w:rPr>
        <w:t>，应当符合以下条件：</w:t>
      </w:r>
    </w:p>
    <w:p>
      <w:pPr>
        <w:numPr>
          <w:ilvl w:val="0"/>
          <w:numId w:val="2"/>
        </w:numPr>
        <w:ind w:left="0" w:leftChars="0" w:firstLine="227" w:firstLineChars="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项目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申请人原则上应为</w:t>
      </w:r>
      <w:r>
        <w:rPr>
          <w:rFonts w:hint="eastAsia" w:ascii="仿宋" w:hAnsi="仿宋" w:eastAsia="仿宋"/>
          <w:sz w:val="32"/>
          <w:szCs w:val="32"/>
          <w:highlight w:val="none"/>
        </w:rPr>
        <w:t>我校一、二年级在校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研究生，</w:t>
      </w:r>
      <w:r>
        <w:rPr>
          <w:rFonts w:hint="eastAsia" w:ascii="仿宋" w:hAnsi="仿宋" w:eastAsia="仿宋"/>
          <w:sz w:val="32"/>
          <w:szCs w:val="32"/>
          <w:highlight w:val="none"/>
        </w:rPr>
        <w:t>每个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英才培育计划</w:t>
      </w:r>
      <w:r>
        <w:rPr>
          <w:rFonts w:hint="eastAsia" w:ascii="仿宋" w:hAnsi="仿宋" w:eastAsia="仿宋"/>
          <w:sz w:val="32"/>
          <w:szCs w:val="32"/>
          <w:highlight w:val="none"/>
        </w:rPr>
        <w:t>应当至少聘请一名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我校</w:t>
      </w:r>
      <w:r>
        <w:rPr>
          <w:rFonts w:hint="eastAsia" w:ascii="仿宋" w:hAnsi="仿宋" w:eastAsia="仿宋"/>
          <w:sz w:val="32"/>
          <w:szCs w:val="32"/>
          <w:highlight w:val="none"/>
        </w:rPr>
        <w:t>研究生导师作为项目指导教师。</w:t>
      </w:r>
    </w:p>
    <w:p>
      <w:pPr>
        <w:numPr>
          <w:ilvl w:val="0"/>
          <w:numId w:val="2"/>
        </w:numPr>
        <w:ind w:left="0" w:leftChars="0" w:firstLine="227" w:firstLineChars="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项目申请人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与项目指导教师共同为立项人，</w:t>
      </w:r>
      <w:r>
        <w:rPr>
          <w:rFonts w:hint="eastAsia" w:ascii="仿宋" w:hAnsi="仿宋" w:eastAsia="仿宋"/>
          <w:sz w:val="32"/>
          <w:szCs w:val="32"/>
          <w:highlight w:val="none"/>
        </w:rPr>
        <w:t>是项目第一责任人，主要负责项目申报、团队组建、团队管理、作品提交与总结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经费管理等工作。本人不能从事实质性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创作或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实践</w:t>
      </w:r>
      <w:r>
        <w:rPr>
          <w:rFonts w:hint="eastAsia" w:ascii="仿宋" w:hAnsi="仿宋" w:eastAsia="仿宋"/>
          <w:sz w:val="32"/>
          <w:szCs w:val="32"/>
          <w:highlight w:val="none"/>
        </w:rPr>
        <w:t>工作的不得申报。</w:t>
      </w:r>
    </w:p>
    <w:p>
      <w:pPr>
        <w:numPr>
          <w:ilvl w:val="0"/>
          <w:numId w:val="2"/>
        </w:numPr>
        <w:ind w:left="0" w:leftChars="0" w:firstLine="227" w:firstLineChars="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项目申请人应明确设立项目目标，结项时进行对标考核。</w:t>
      </w:r>
    </w:p>
    <w:p>
      <w:pPr>
        <w:numPr>
          <w:ilvl w:val="0"/>
          <w:numId w:val="2"/>
        </w:numPr>
        <w:ind w:left="0" w:leftChars="0" w:firstLine="227" w:firstLineChars="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项目申请人须按本项目规定的年度计划完成。</w:t>
      </w:r>
    </w:p>
    <w:p>
      <w:pPr>
        <w:numPr>
          <w:ilvl w:val="0"/>
          <w:numId w:val="2"/>
        </w:numPr>
        <w:ind w:left="0" w:leftChars="0" w:firstLine="227" w:firstLineChars="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英才培育计划</w:t>
      </w:r>
      <w:r>
        <w:rPr>
          <w:rFonts w:hint="eastAsia" w:ascii="仿宋" w:hAnsi="仿宋" w:eastAsia="仿宋"/>
          <w:sz w:val="32"/>
          <w:szCs w:val="32"/>
          <w:highlight w:val="none"/>
        </w:rPr>
        <w:t>的申请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必须是</w:t>
      </w:r>
      <w:r>
        <w:rPr>
          <w:rFonts w:hint="eastAsia" w:ascii="仿宋" w:hAnsi="仿宋" w:eastAsia="仿宋"/>
          <w:sz w:val="32"/>
          <w:szCs w:val="32"/>
          <w:highlight w:val="none"/>
        </w:rPr>
        <w:t>以项目小组的形式进行申报，提倡由跨学院、跨专业等具有不同专业背景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不同学历层次</w:t>
      </w:r>
      <w:r>
        <w:rPr>
          <w:rFonts w:hint="eastAsia" w:ascii="仿宋" w:hAnsi="仿宋" w:eastAsia="仿宋"/>
          <w:sz w:val="32"/>
          <w:szCs w:val="32"/>
          <w:highlight w:val="none"/>
        </w:rPr>
        <w:t>的学生组建项目组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成员须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在3人及以上</w:t>
      </w:r>
      <w:r>
        <w:rPr>
          <w:rFonts w:hint="eastAsia" w:ascii="仿宋" w:hAnsi="仿宋" w:eastAsia="仿宋"/>
          <w:sz w:val="32"/>
          <w:szCs w:val="32"/>
          <w:highlight w:val="none"/>
        </w:rPr>
        <w:t>，必须指定一名项目负责人。团队成员必须均是正式注册在校的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numPr>
          <w:ilvl w:val="0"/>
          <w:numId w:val="2"/>
        </w:numPr>
        <w:ind w:left="0" w:leftChars="0" w:firstLine="227" w:firstLineChars="0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申请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英才培育计划</w:t>
      </w:r>
      <w:r>
        <w:rPr>
          <w:rFonts w:hint="eastAsia" w:ascii="仿宋" w:hAnsi="仿宋" w:eastAsia="仿宋"/>
          <w:sz w:val="32"/>
          <w:szCs w:val="32"/>
          <w:highlight w:val="none"/>
        </w:rPr>
        <w:t>应当获得相关领域两名副教授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" w:hAnsi="仿宋" w:eastAsia="仿宋"/>
          <w:sz w:val="32"/>
          <w:szCs w:val="32"/>
          <w:highlight w:val="none"/>
        </w:rPr>
        <w:t>以上职称教师的推荐。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highlight w:val="none"/>
          <w:lang w:val="en-US" w:eastAsia="zh-CN"/>
        </w:rPr>
        <w:t>申请流程。</w:t>
      </w:r>
    </w:p>
    <w:p>
      <w:pPr>
        <w:ind w:firstLine="42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英才培育计划</w:t>
      </w:r>
      <w:r>
        <w:rPr>
          <w:rFonts w:hint="eastAsia" w:ascii="仿宋" w:hAnsi="仿宋" w:eastAsia="仿宋"/>
          <w:sz w:val="32"/>
          <w:szCs w:val="32"/>
          <w:highlight w:val="none"/>
        </w:rPr>
        <w:t>采取研究生本人申报，培养单位审议推荐，研究生院组织评审的方式进行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立项管理：</w:t>
      </w:r>
    </w:p>
    <w:p>
      <w:pPr>
        <w:numPr>
          <w:ilvl w:val="0"/>
          <w:numId w:val="3"/>
        </w:numPr>
        <w:ind w:left="0" w:leftChars="0" w:firstLine="170" w:firstLineChars="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项目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申请人向培养单位提交《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“金蔷薇学术季”</w:t>
      </w:r>
      <w:r>
        <w:rPr>
          <w:rFonts w:hint="eastAsia" w:ascii="仿宋" w:hAnsi="仿宋" w:eastAsia="仿宋"/>
          <w:sz w:val="32"/>
          <w:szCs w:val="32"/>
          <w:highlight w:val="none"/>
        </w:rPr>
        <w:t>创作与实践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英才培育计划立项申请书</w:t>
      </w:r>
      <w:r>
        <w:rPr>
          <w:rFonts w:hint="eastAsia" w:ascii="仿宋" w:hAnsi="仿宋" w:eastAsia="仿宋"/>
          <w:sz w:val="32"/>
          <w:szCs w:val="32"/>
          <w:highlight w:val="none"/>
        </w:rPr>
        <w:t>》。</w:t>
      </w:r>
    </w:p>
    <w:p>
      <w:pPr>
        <w:numPr>
          <w:ilvl w:val="0"/>
          <w:numId w:val="3"/>
        </w:numPr>
        <w:ind w:left="0" w:leftChars="0" w:firstLine="170" w:firstLineChars="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培养单位对申报项目进行预审，确定推荐名单，并在纸质版申报书签署审议结果和推荐意见。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同时</w:t>
      </w:r>
      <w:r>
        <w:rPr>
          <w:rFonts w:hint="eastAsia" w:ascii="仿宋" w:hAnsi="仿宋" w:eastAsia="仿宋"/>
          <w:sz w:val="32"/>
          <w:szCs w:val="32"/>
          <w:highlight w:val="none"/>
        </w:rPr>
        <w:t>将项目申报书纸质版材料和《XX学院申报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“金蔷薇学术季”</w:t>
      </w:r>
      <w:r>
        <w:rPr>
          <w:rFonts w:hint="eastAsia" w:ascii="仿宋" w:hAnsi="仿宋" w:eastAsia="仿宋"/>
          <w:sz w:val="32"/>
          <w:szCs w:val="32"/>
          <w:highlight w:val="none"/>
        </w:rPr>
        <w:t>创作与实践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英才培育计划</w:t>
      </w:r>
      <w:r>
        <w:rPr>
          <w:rFonts w:hint="eastAsia" w:ascii="仿宋" w:hAnsi="仿宋" w:eastAsia="仿宋"/>
          <w:sz w:val="32"/>
          <w:szCs w:val="32"/>
          <w:highlight w:val="none"/>
        </w:rPr>
        <w:t>信息汇总表》报送研究生院。</w:t>
      </w:r>
    </w:p>
    <w:p>
      <w:pPr>
        <w:numPr>
          <w:ilvl w:val="0"/>
          <w:numId w:val="3"/>
        </w:numPr>
        <w:ind w:left="0" w:leftChars="0" w:firstLine="170" w:firstLineChars="0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研究生院对申请人资格、申报项目的有关内容是否符合</w:t>
      </w:r>
      <w:r>
        <w:rPr>
          <w:rFonts w:hint="eastAsia" w:ascii="仿宋" w:hAnsi="仿宋" w:eastAsia="仿宋"/>
          <w:sz w:val="32"/>
          <w:szCs w:val="32"/>
          <w:highlight w:val="none"/>
        </w:rPr>
        <w:t>要求等进行复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核</w:t>
      </w:r>
      <w:r>
        <w:rPr>
          <w:rFonts w:hint="eastAsia" w:ascii="仿宋" w:hAnsi="仿宋" w:eastAsia="仿宋"/>
          <w:sz w:val="32"/>
          <w:szCs w:val="32"/>
          <w:highlight w:val="none"/>
        </w:rPr>
        <w:t>。通过复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核</w:t>
      </w:r>
      <w:r>
        <w:rPr>
          <w:rFonts w:hint="eastAsia" w:ascii="仿宋" w:hAnsi="仿宋" w:eastAsia="仿宋"/>
          <w:sz w:val="32"/>
          <w:szCs w:val="32"/>
          <w:highlight w:val="none"/>
        </w:rPr>
        <w:t>的项目，由研究生院组织评审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研究生院</w:t>
      </w:r>
      <w:r>
        <w:rPr>
          <w:rFonts w:hint="eastAsia" w:ascii="仿宋" w:hAnsi="仿宋" w:eastAsia="仿宋"/>
          <w:sz w:val="32"/>
          <w:szCs w:val="32"/>
          <w:highlight w:val="none"/>
        </w:rPr>
        <w:t>对通过评审的项目及团队进行公示，公示期满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无异议</w:t>
      </w:r>
      <w:r>
        <w:rPr>
          <w:rFonts w:hint="eastAsia" w:ascii="仿宋" w:hAnsi="仿宋" w:eastAsia="仿宋"/>
          <w:sz w:val="32"/>
          <w:szCs w:val="32"/>
          <w:highlight w:val="none"/>
        </w:rPr>
        <w:t>或有反映但经核实不影响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立项</w:t>
      </w:r>
      <w:r>
        <w:rPr>
          <w:rFonts w:hint="eastAsia" w:ascii="仿宋" w:hAnsi="仿宋" w:eastAsia="仿宋"/>
          <w:sz w:val="32"/>
          <w:szCs w:val="32"/>
          <w:highlight w:val="none"/>
        </w:rPr>
        <w:t>的，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则可</w:t>
      </w:r>
      <w:r>
        <w:rPr>
          <w:rFonts w:hint="eastAsia" w:ascii="仿宋" w:hAnsi="仿宋" w:eastAsia="仿宋"/>
          <w:sz w:val="32"/>
          <w:szCs w:val="32"/>
          <w:highlight w:val="none"/>
        </w:rPr>
        <w:t>正式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立项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实施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/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highlight w:val="none"/>
          <w:lang w:val="en-US" w:eastAsia="zh-CN"/>
        </w:rPr>
        <w:t>中期考核。</w:t>
      </w:r>
    </w:p>
    <w:p>
      <w:pPr>
        <w:ind w:firstLine="42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各项目团队依据项目完成的阶段成果填写《“金蔷薇学术季”创作与实践英才培育计划中期验收报告书》，提交给研究生院组织中期评审，中期考核不合格的项目，研究生院有权中止项目。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highlight w:val="none"/>
          <w:lang w:val="en-US" w:eastAsia="zh-CN"/>
        </w:rPr>
        <w:t>结项验收。</w:t>
      </w:r>
    </w:p>
    <w:p>
      <w:pPr>
        <w:ind w:firstLine="420"/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各项目团队提交项目成果、工作照片、社会推广信息等，并填写《“金蔷薇学术季”</w:t>
      </w:r>
      <w:r>
        <w:rPr>
          <w:rFonts w:hint="eastAsia" w:ascii="仿宋" w:hAnsi="仿宋" w:eastAsia="仿宋"/>
          <w:sz w:val="32"/>
          <w:szCs w:val="32"/>
          <w:highlight w:val="none"/>
        </w:rPr>
        <w:t>创作与实践英才培育计划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项目结项书》，研究生院将组织专家进行结项验收。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jc w:val="center"/>
        <w:rPr>
          <w:rFonts w:hint="eastAsia" w:ascii="微软雅黑" w:hAnsi="微软雅黑"/>
          <w:b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第四章  经费管理与使用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英才培育计划</w:t>
      </w:r>
      <w:r>
        <w:rPr>
          <w:rFonts w:hint="eastAsia" w:ascii="仿宋" w:hAnsi="仿宋" w:eastAsia="仿宋"/>
          <w:sz w:val="32"/>
          <w:szCs w:val="32"/>
          <w:highlight w:val="none"/>
        </w:rPr>
        <w:t>的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开支严格执行预算制度，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且须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符合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我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校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相关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规定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(资金使用时间依据学校项目资金管理规定）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英才培育计划资助金分三阶段拨付：第一阶段，经研究生院批准正式立项后拨付项目经费额度的30%；第二阶段，经研究生院中期检查合格后拨付项目经费的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  <w:highlight w:val="none"/>
        </w:rPr>
        <w:t>%，中期检查评优者可适当增加经费；剩余经费将在作品完成提交与最终评审合格后发放。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鼓励各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培养单位</w:t>
      </w:r>
      <w:r>
        <w:rPr>
          <w:rFonts w:hint="eastAsia" w:ascii="仿宋" w:hAnsi="仿宋" w:eastAsia="仿宋"/>
          <w:sz w:val="32"/>
          <w:szCs w:val="32"/>
          <w:highlight w:val="none"/>
        </w:rPr>
        <w:t>提供配套资金，提高对研究生项目的资助力度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项目经费的使用需合理且符合相关规定要求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对项目经费使用中的违法违规行为，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研究生院</w:t>
      </w:r>
      <w:r>
        <w:rPr>
          <w:rFonts w:hint="eastAsia" w:ascii="仿宋" w:hAnsi="仿宋" w:eastAsia="仿宋"/>
          <w:sz w:val="32"/>
          <w:szCs w:val="32"/>
          <w:highlight w:val="none"/>
        </w:rPr>
        <w:t>有权对项目负责人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  <w:highlight w:val="none"/>
        </w:rPr>
        <w:t>采取通报批评、冻结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  <w:highlight w:val="none"/>
        </w:rPr>
        <w:t>经费、限制申报资格等措施。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章 相关保障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highlight w:val="none"/>
        </w:rPr>
        <w:t>赛事评奖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420"/>
        <w:rPr>
          <w:rFonts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项目设置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优秀作品奖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”、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“优秀指导教师奖”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等奖项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同时鼓励项目成果积极参加国内外赛事或评奖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宋体"/>
          <w:b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highlight w:val="none"/>
        </w:rPr>
        <w:t>教师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highlight w:val="none"/>
          <w:lang w:val="en-US" w:eastAsia="zh-CN"/>
        </w:rPr>
        <w:t>科研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highlight w:val="none"/>
        </w:rPr>
        <w:t>奖励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作品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可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统一纳入《中国传媒大学科研、艺术创作与获奖评价办法》的考核与奖励标准管理，创作团队指导教师可以获得相应的奖励分值。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highlight w:val="none"/>
        </w:rPr>
        <w:t>学生学分认定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highlight w:val="none"/>
          <w:lang w:eastAsia="zh-CN"/>
        </w:rPr>
        <w:t>。</w:t>
      </w:r>
    </w:p>
    <w:p>
      <w:pPr>
        <w:numPr>
          <w:ilvl w:val="-1"/>
          <w:numId w:val="0"/>
        </w:numPr>
        <w:spacing w:line="360" w:lineRule="auto"/>
        <w:ind w:firstLine="420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参与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的学生可以获得相应的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实践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学分，并由团队负责老师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与研究生院共同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核定。</w:t>
      </w:r>
    </w:p>
    <w:p>
      <w:pPr>
        <w:widowControl/>
        <w:numPr>
          <w:ilvl w:val="0"/>
          <w:numId w:val="1"/>
        </w:numPr>
        <w:shd w:val="clear"/>
        <w:spacing w:line="360" w:lineRule="auto"/>
        <w:jc w:val="left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default" w:ascii="仿宋" w:hAnsi="仿宋" w:eastAsia="仿宋"/>
          <w:kern w:val="0"/>
          <w:sz w:val="32"/>
          <w:szCs w:val="32"/>
          <w:highlight w:val="none"/>
        </w:rPr>
        <w:t>英才培育计划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结项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成果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中国传媒大学</w:t>
      </w:r>
      <w:r>
        <w:rPr>
          <w:rFonts w:ascii="仿宋" w:hAnsi="仿宋" w:eastAsia="仿宋"/>
          <w:kern w:val="0"/>
          <w:sz w:val="32"/>
          <w:szCs w:val="32"/>
          <w:highlight w:val="none"/>
        </w:rPr>
        <w:t>拥有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知识产权，具有</w:t>
      </w:r>
      <w:r>
        <w:rPr>
          <w:rFonts w:ascii="仿宋" w:hAnsi="仿宋" w:eastAsia="仿宋"/>
          <w:kern w:val="0"/>
          <w:sz w:val="32"/>
          <w:szCs w:val="32"/>
          <w:highlight w:val="none"/>
        </w:rPr>
        <w:t>公开发表、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报送评奖、</w:t>
      </w:r>
      <w:r>
        <w:rPr>
          <w:rFonts w:ascii="仿宋" w:hAnsi="仿宋" w:eastAsia="仿宋"/>
          <w:kern w:val="0"/>
          <w:sz w:val="32"/>
          <w:szCs w:val="32"/>
          <w:highlight w:val="none"/>
        </w:rPr>
        <w:t>引用或采纳使用的权利。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师生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团队保留署名权，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成果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所获社会赛事奖励、以及其他经济收益为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团队所有，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成果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所获单项奖的收益归相应署名人所有。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章 附则</w:t>
      </w:r>
    </w:p>
    <w:p>
      <w:pPr>
        <w:widowControl/>
        <w:numPr>
          <w:ilvl w:val="0"/>
          <w:numId w:val="1"/>
        </w:numPr>
        <w:shd w:val="clear"/>
        <w:spacing w:line="360" w:lineRule="auto"/>
        <w:jc w:val="left"/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本办法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</w:rPr>
        <w:t>解释权归中国传媒大学研究生院所有。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CC4CD3"/>
    <w:multiLevelType w:val="singleLevel"/>
    <w:tmpl w:val="A0CC4CD3"/>
    <w:lvl w:ilvl="0" w:tentative="0">
      <w:start w:val="1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 w:eastAsia="仿宋"/>
        <w:b/>
        <w:sz w:val="32"/>
      </w:rPr>
    </w:lvl>
  </w:abstractNum>
  <w:abstractNum w:abstractNumId="1">
    <w:nsid w:val="13BFE718"/>
    <w:multiLevelType w:val="singleLevel"/>
    <w:tmpl w:val="13BFE718"/>
    <w:lvl w:ilvl="0" w:tentative="0">
      <w:start w:val="1"/>
      <w:numFmt w:val="chineseCounting"/>
      <w:suff w:val="nothing"/>
      <w:lvlText w:val="（%1）"/>
      <w:lvlJc w:val="left"/>
      <w:pPr>
        <w:ind w:left="0" w:firstLine="170"/>
      </w:pPr>
      <w:rPr>
        <w:rFonts w:hint="eastAsia"/>
      </w:rPr>
    </w:lvl>
  </w:abstractNum>
  <w:abstractNum w:abstractNumId="2">
    <w:nsid w:val="21DF8598"/>
    <w:multiLevelType w:val="singleLevel"/>
    <w:tmpl w:val="21DF8598"/>
    <w:lvl w:ilvl="0" w:tentative="0">
      <w:start w:val="1"/>
      <w:numFmt w:val="chineseCounting"/>
      <w:suff w:val="nothing"/>
      <w:lvlText w:val="（%1）"/>
      <w:lvlJc w:val="left"/>
      <w:pPr>
        <w:ind w:left="0" w:firstLine="227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A7F78"/>
    <w:rsid w:val="03112287"/>
    <w:rsid w:val="0553007F"/>
    <w:rsid w:val="07212183"/>
    <w:rsid w:val="0A4A5338"/>
    <w:rsid w:val="0AB71416"/>
    <w:rsid w:val="187E19CD"/>
    <w:rsid w:val="1CCC40DE"/>
    <w:rsid w:val="1D61460C"/>
    <w:rsid w:val="23262501"/>
    <w:rsid w:val="23581154"/>
    <w:rsid w:val="236639F2"/>
    <w:rsid w:val="240E5378"/>
    <w:rsid w:val="24A73BB5"/>
    <w:rsid w:val="313A48FD"/>
    <w:rsid w:val="32424E34"/>
    <w:rsid w:val="3C6A7F78"/>
    <w:rsid w:val="4322257D"/>
    <w:rsid w:val="47412CAD"/>
    <w:rsid w:val="49147FA6"/>
    <w:rsid w:val="4F1D56CC"/>
    <w:rsid w:val="4F86562F"/>
    <w:rsid w:val="50B909C3"/>
    <w:rsid w:val="562818DB"/>
    <w:rsid w:val="5E567D27"/>
    <w:rsid w:val="6D0E070F"/>
    <w:rsid w:val="6FBE0AD3"/>
    <w:rsid w:val="6FC92499"/>
    <w:rsid w:val="F7F1314D"/>
    <w:rsid w:val="FED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44444"/>
      <w:u w:val="none"/>
    </w:rPr>
  </w:style>
  <w:style w:type="character" w:styleId="8">
    <w:name w:val="Hyperlink"/>
    <w:basedOn w:val="6"/>
    <w:qFormat/>
    <w:uiPriority w:val="0"/>
    <w:rPr>
      <w:color w:val="444444"/>
      <w:u w:val="none"/>
    </w:rPr>
  </w:style>
  <w:style w:type="character" w:customStyle="1" w:styleId="9">
    <w:name w:val="active"/>
    <w:basedOn w:val="6"/>
    <w:qFormat/>
    <w:uiPriority w:val="0"/>
    <w:rPr>
      <w:color w:val="2372B7"/>
    </w:rPr>
  </w:style>
  <w:style w:type="character" w:customStyle="1" w:styleId="10">
    <w:name w:val="chak"/>
    <w:basedOn w:val="6"/>
    <w:qFormat/>
    <w:uiPriority w:val="0"/>
  </w:style>
  <w:style w:type="character" w:customStyle="1" w:styleId="11">
    <w:name w:val="active2"/>
    <w:basedOn w:val="6"/>
    <w:qFormat/>
    <w:uiPriority w:val="0"/>
    <w:rPr>
      <w:color w:val="2372B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2019-03-19T23:20:00Z</dcterms:created>
  <dc:creator>fly</dc:creator>
  <cp:lastModifiedBy>fly</cp:lastModifiedBy>
  <dcterms:modified xsi:type="dcterms:W3CDTF">2019-04-15T00:30:36Z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